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3B" w:rsidRDefault="004A203B" w:rsidP="004A203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 xml:space="preserve">Уголовная ответственность за незаконные производство и оборот табачной и </w:t>
      </w:r>
      <w:proofErr w:type="spellStart"/>
      <w:r w:rsidRPr="007C5731">
        <w:rPr>
          <w:rFonts w:ascii="Arial" w:hAnsi="Arial" w:cs="Arial"/>
          <w:b/>
          <w:color w:val="2C2D2E"/>
          <w:sz w:val="23"/>
          <w:szCs w:val="23"/>
        </w:rPr>
        <w:t>никотинсодержащей</w:t>
      </w:r>
      <w:proofErr w:type="spellEnd"/>
      <w:r w:rsidRPr="007C5731">
        <w:rPr>
          <w:rFonts w:ascii="Arial" w:hAnsi="Arial" w:cs="Arial"/>
          <w:b/>
          <w:color w:val="2C2D2E"/>
          <w:sz w:val="23"/>
          <w:szCs w:val="23"/>
        </w:rPr>
        <w:t xml:space="preserve"> продукции, сырья для их производства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Федеральным законом от 31.07.2023 № 390-ФЗ статья 171.3 Уголовного кодекса Российской Федерации дополнена пунктом 1.1, согласно которому за производство, поставку, закупку, хранение продукции и сырья в крупном размере без лицензии в тех случаях, когда она обязательна предусмотрена уголовная ответственность.</w:t>
      </w:r>
    </w:p>
    <w:p w:rsidR="004A203B" w:rsidRDefault="004A203B" w:rsidP="004A203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Крупным размером в настоящей статье признается стоимость табачной продукции,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никотинсодержащей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продукции и сырья для их производства, производство и (или) оборот которых осуществляются без соответствующей лицензии, превышающая 100 тыс. рублей, а особо крупным — 1 млн. рублей.</w:t>
      </w:r>
    </w:p>
    <w:p w:rsidR="004A203B" w:rsidRDefault="004A203B" w:rsidP="004A203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Одним из видов наказаний, предусмотренных за совершение указанного преступления, является штраф от 500 тыс. рублей до 1 млн рублей или в размере заработной платы или иного дохода осужденного за период от одного года до трех лет.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2"/>
    <w:rsid w:val="004A203B"/>
    <w:rsid w:val="00D32D0C"/>
    <w:rsid w:val="00E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57B6-D015-49F5-9518-CE5D3248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2024-06-28T18:11:00Z</dcterms:created>
  <dcterms:modified xsi:type="dcterms:W3CDTF">2024-06-28T18:11:00Z</dcterms:modified>
</cp:coreProperties>
</file>